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after="360" w:before="0" w:line="312" w:lineRule="auto"/>
        <w:rPr>
          <w:color w:val="2d3b45"/>
          <w:sz w:val="86"/>
          <w:szCs w:val="86"/>
        </w:rPr>
      </w:pPr>
      <w:bookmarkStart w:colFirst="0" w:colLast="0" w:name="_1i8b1r3aw17h" w:id="0"/>
      <w:bookmarkEnd w:id="0"/>
      <w:r w:rsidDel="00000000" w:rsidR="00000000" w:rsidRPr="00000000">
        <w:rPr>
          <w:color w:val="2d3b45"/>
          <w:sz w:val="86"/>
          <w:szCs w:val="86"/>
          <w:rtl w:val="0"/>
        </w:rPr>
        <w:t xml:space="preserve">Research Analysis 3 Due</w:t>
      </w:r>
    </w:p>
    <w:p w:rsidR="00000000" w:rsidDel="00000000" w:rsidP="00000000" w:rsidRDefault="00000000" w:rsidRPr="00000000" w14:paraId="00000002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numPr>
          <w:ilvl w:val="0"/>
          <w:numId w:val="2"/>
        </w:numPr>
        <w:spacing w:after="280" w:lineRule="auto"/>
        <w:ind w:left="720" w:hanging="36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80" w:before="180" w:lineRule="auto"/>
        <w:rPr>
          <w:color w:val="2d3b45"/>
          <w:sz w:val="24"/>
          <w:szCs w:val="24"/>
        </w:rPr>
      </w:pPr>
      <w:r w:rsidDel="00000000" w:rsidR="00000000" w:rsidRPr="00000000">
        <w:rPr>
          <w:color w:val="2d3b45"/>
          <w:sz w:val="24"/>
          <w:szCs w:val="24"/>
          <w:u w:val="single"/>
          <w:rtl w:val="0"/>
        </w:rPr>
        <w:t xml:space="preserve">Research Analysis</w:t>
      </w:r>
      <w:r w:rsidDel="00000000" w:rsidR="00000000" w:rsidRPr="00000000">
        <w:rPr>
          <w:color w:val="2d3b45"/>
          <w:sz w:val="24"/>
          <w:szCs w:val="24"/>
          <w:rtl w:val="0"/>
        </w:rPr>
        <w:t xml:space="preserve">:  Choose a source from one of the following categories that shows how your chosen group is portrayed by one contemporary U.S. institution: 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0" w:afterAutospacing="0" w:lineRule="auto"/>
        <w:ind w:left="1100" w:hanging="360"/>
      </w:pPr>
      <w:r w:rsidDel="00000000" w:rsidR="00000000" w:rsidRPr="00000000">
        <w:rPr>
          <w:color w:val="2d3b45"/>
          <w:sz w:val="24"/>
          <w:szCs w:val="24"/>
          <w:rtl w:val="0"/>
        </w:rPr>
        <w:t xml:space="preserve">Mainstream News Media: newspaper, magazine, or web-based articles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afterAutospacing="0" w:lineRule="auto"/>
        <w:ind w:left="1100" w:hanging="360"/>
      </w:pPr>
      <w:r w:rsidDel="00000000" w:rsidR="00000000" w:rsidRPr="00000000">
        <w:rPr>
          <w:color w:val="2d3b45"/>
          <w:sz w:val="24"/>
          <w:szCs w:val="24"/>
          <w:rtl w:val="0"/>
        </w:rPr>
        <w:t xml:space="preserve">Entertainment: Recent T.V. shows, radio broadcasts, movies, or books (fiction/nonfiction, any target age group)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afterAutospacing="0" w:lineRule="auto"/>
        <w:ind w:left="1100" w:hanging="360"/>
      </w:pPr>
      <w:r w:rsidDel="00000000" w:rsidR="00000000" w:rsidRPr="00000000">
        <w:rPr>
          <w:color w:val="2d3b45"/>
          <w:sz w:val="24"/>
          <w:szCs w:val="24"/>
          <w:rtl w:val="0"/>
        </w:rPr>
        <w:t xml:space="preserve">Music: Song lyrics, music videos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100" w:lineRule="auto"/>
        <w:ind w:left="1100" w:hanging="360"/>
      </w:pPr>
      <w:r w:rsidDel="00000000" w:rsidR="00000000" w:rsidRPr="00000000">
        <w:rPr>
          <w:color w:val="2d3b45"/>
          <w:sz w:val="24"/>
          <w:szCs w:val="24"/>
          <w:rtl w:val="0"/>
        </w:rPr>
        <w:t xml:space="preserve">Peer-reviewed professional or academic Journals – at least one analysis must use an article published in a peer-reviewed or academic journal.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i w:val="0"/>
        <w:smallCaps w:val="0"/>
        <w:strike w:val="0"/>
        <w:color w:val="2d3b4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"/>
      <w:lvlJc w:val="left"/>
      <w:pPr>
        <w:ind w:left="720" w:hanging="360"/>
      </w:pPr>
      <w:rPr>
        <w:b w:val="0"/>
        <w:i w:val="0"/>
        <w:smallCaps w:val="0"/>
        <w:strike w:val="0"/>
        <w:color w:val="2d3b4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